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LOUISIANA EVICTION CODE REFERENCE</w:t>
      </w:r>
    </w:p>
    <w:p>
      <w:pPr>
        <w:spacing w:after="80"/>
        <w:jc w:val="center"/>
      </w:pPr>
      <w:r>
        <w:rPr>
          <w:i/>
          <w:iCs/>
          <w:sz w:val="24"/>
          <w:szCs w:val="24"/>
        </w:rPr>
        <w:t xml:space="preserve">(Plain-Language Overview of C.C.P. arts. 4701–4735)</w:t>
      </w:r>
    </w:p>
    <w:p>
      <w:pPr>
        <w:spacing w:after="360"/>
        <w:jc w:val="center"/>
      </w:pPr>
      <w:r>
        <w:rPr>
          <w:b/>
          <w:bCs/>
          <w:sz w:val="22"/>
          <w:szCs w:val="22"/>
        </w:rPr>
        <w:t xml:space="preserve">INSTRUCTIONS FOR SELF-REPRESENTED LITIGANTS</w:t>
      </w:r>
    </w:p>
    <w:p>
      <w:pPr>
        <w:spacing w:after="80" w:before="120"/>
      </w:pPr>
      <w:r>
        <w:rPr>
          <w:b/>
          <w:bCs/>
          <w:sz w:val="22"/>
          <w:szCs w:val="22"/>
        </w:rPr>
        <w:t xml:space="preserve">ABOUT THIS REFERENCE</w:t>
      </w:r>
    </w:p>
    <w:p>
      <w:pPr>
        <w:spacing w:after="120"/>
      </w:pPr>
      <w:r>
        <w:t xml:space="preserve">This is a plain-language reference to Louisiana's eviction code articles for self-represented parties on either side of an eviction case. It is NOT a fillable form, and it is NOT legal advice. Use it to understand the basic structure of Louisiana eviction law before you fill out the other forms in this library.</w:t>
      </w:r>
    </w:p>
    <w:p>
      <w:pPr>
        <w:spacing w:after="120"/>
      </w:pPr>
      <w:r>
        <w:t xml:space="preserve">Read this in conjunction with your lease, any notices you have sent or received, and the specific forms you will file.</w:t>
      </w:r>
    </w:p>
    <w:p>
      <w:pPr>
        <w:spacing w:after="80" w:before="120"/>
      </w:pPr>
      <w:r>
        <w:rPr>
          <w:b/>
          <w:bCs/>
          <w:sz w:val="22"/>
          <w:szCs w:val="22"/>
        </w:rPr>
        <w:t xml:space="preserve">ARTICLE 4701 — NOTICE TO VACATE</w:t>
      </w:r>
    </w:p>
    <w:p>
      <w:pPr>
        <w:spacing w:after="120"/>
      </w:pPr>
      <w:r>
        <w:t xml:space="preserve">Before any eviction case can be filed, the landlord MUST deliver a written Notice to Vacate to the tenant. The period is:</w:t>
      </w:r>
    </w:p>
    <w:p>
      <w:pPr>
        <w:pStyle w:val="ListParagraph"/>
        <w:numPr>
          <w:ilvl w:val="0"/>
          <w:numId w:val="2"/>
        </w:numPr>
        <w:spacing/>
      </w:pPr>
      <w:r>
        <w:t xml:space="preserve">FIVE (5) days for non-payment of rent</w:t>
      </w:r>
    </w:p>
    <w:p>
      <w:pPr>
        <w:pStyle w:val="ListParagraph"/>
        <w:numPr>
          <w:ilvl w:val="0"/>
          <w:numId w:val="2"/>
        </w:numPr>
        <w:spacing/>
      </w:pPr>
      <w:r>
        <w:t xml:space="preserve">TEN (10) days for other causes (lease expiration, violation, holding over, no lease)</w:t>
      </w:r>
    </w:p>
    <w:p>
      <w:pPr>
        <w:pStyle w:val="ListParagraph"/>
        <w:numPr>
          <w:ilvl w:val="0"/>
          <w:numId w:val="2"/>
        </w:numPr>
        <w:spacing w:after="120"/>
      </w:pPr>
      <w:r>
        <w:t xml:space="preserve">Some leases allow the parties to waive or modify the notice period — check the lease carefully</w:t>
      </w:r>
    </w:p>
    <w:p>
      <w:pPr>
        <w:spacing w:after="80" w:before="120"/>
      </w:pPr>
      <w:r>
        <w:rPr>
          <w:b/>
          <w:bCs/>
          <w:sz w:val="22"/>
          <w:szCs w:val="22"/>
        </w:rPr>
        <w:t xml:space="preserve">ARTICLE 4702 — GROUNDS FOR EVICTION</w:t>
      </w:r>
    </w:p>
    <w:p>
      <w:pPr>
        <w:spacing w:after="120"/>
      </w:pPr>
      <w:r>
        <w:t xml:space="preserve">The principal grounds are (1) non-payment of rent, (2) expiration of the lease term, (3) violation of a lease condition, (4) holding over after termination notice in a month-to-month, and (5) occupancy without right by someone who was never a formal tenant.</w:t>
      </w:r>
    </w:p>
    <w:p>
      <w:pPr>
        <w:spacing w:after="80" w:before="120"/>
      </w:pPr>
      <w:r>
        <w:rPr>
          <w:b/>
          <w:bCs/>
          <w:sz w:val="22"/>
          <w:szCs w:val="22"/>
        </w:rPr>
        <w:t xml:space="preserve">ARTICLE 4703 — HOW TO SERVE THE NOTICE</w:t>
      </w:r>
    </w:p>
    <w:p>
      <w:pPr>
        <w:spacing w:after="120"/>
      </w:pPr>
      <w:r>
        <w:t xml:space="preserve">The Notice to Vacate must be (a) personally delivered to the tenant; OR (b) delivered to a person of suitable age residing at the premises; OR (c) if no one can be found after diligent effort, posted on the main entrance.</w:t>
      </w:r>
    </w:p>
    <w:p>
      <w:pPr>
        <w:spacing w:after="80" w:before="120"/>
      </w:pPr>
      <w:r>
        <w:rPr>
          <w:b/>
          <w:bCs/>
          <w:sz w:val="22"/>
          <w:szCs w:val="22"/>
        </w:rPr>
        <w:t xml:space="preserve">ARTICLES 4731–4733 — RULE TO EVICT PROCEDURE</w:t>
      </w:r>
    </w:p>
    <w:p>
      <w:pPr>
        <w:pStyle w:val="ListParagraph"/>
        <w:numPr>
          <w:ilvl w:val="0"/>
          <w:numId w:val="2"/>
        </w:numPr>
        <w:spacing/>
      </w:pPr>
      <w:r>
        <w:t xml:space="preserve">After the notice period expires, the landlord files a Rule to Evict</w:t>
      </w:r>
    </w:p>
    <w:p>
      <w:pPr>
        <w:pStyle w:val="ListParagraph"/>
        <w:numPr>
          <w:ilvl w:val="0"/>
          <w:numId w:val="2"/>
        </w:numPr>
        <w:spacing/>
      </w:pPr>
      <w:r>
        <w:t xml:space="preserve">The court sets a hearing not less than 3 days after service</w:t>
      </w:r>
    </w:p>
    <w:p>
      <w:pPr>
        <w:pStyle w:val="ListParagraph"/>
        <w:numPr>
          <w:ilvl w:val="0"/>
          <w:numId w:val="2"/>
        </w:numPr>
        <w:spacing/>
      </w:pPr>
      <w:r>
        <w:t xml:space="preserve">The hearing is a summary proceeding — no jury, limited pleadings, evidence-based</w:t>
      </w:r>
    </w:p>
    <w:p>
      <w:pPr>
        <w:pStyle w:val="ListParagraph"/>
        <w:numPr>
          <w:ilvl w:val="0"/>
          <w:numId w:val="2"/>
        </w:numPr>
        <w:spacing/>
      </w:pPr>
      <w:r>
        <w:t xml:space="preserve">If the landlord prevails, the court issues a Judgment of Eviction</w:t>
      </w:r>
    </w:p>
    <w:p>
      <w:pPr>
        <w:pStyle w:val="ListParagraph"/>
        <w:numPr>
          <w:ilvl w:val="0"/>
          <w:numId w:val="2"/>
        </w:numPr>
        <w:spacing/>
      </w:pPr>
      <w:r>
        <w:t xml:space="preserve">The tenant has 24 hours to vacate or file a suspensive appeal</w:t>
      </w:r>
    </w:p>
    <w:p>
      <w:pPr>
        <w:pStyle w:val="ListParagraph"/>
        <w:numPr>
          <w:ilvl w:val="0"/>
          <w:numId w:val="2"/>
        </w:numPr>
        <w:spacing w:after="120"/>
      </w:pPr>
      <w:r>
        <w:t xml:space="preserve">If neither happens, the landlord obtains a Warrant of Possession and the sheriff executes</w:t>
      </w:r>
    </w:p>
    <w:p>
      <w:pPr>
        <w:spacing w:after="80" w:before="120"/>
      </w:pPr>
      <w:r>
        <w:rPr>
          <w:b/>
          <w:bCs/>
          <w:sz w:val="22"/>
          <w:szCs w:val="22"/>
        </w:rPr>
        <w:t xml:space="preserve">ARTICLE 4732 — DEFAULT IF TENANT DOESN'T APPEAR</w:t>
      </w:r>
    </w:p>
    <w:p>
      <w:pPr>
        <w:spacing w:after="120"/>
      </w:pPr>
      <w:r>
        <w:t xml:space="preserve">If the tenant fails to appear at the hearing, the court renders judgment on the face of the pleadings. The landlord still has to show (a) proper Notice to Vacate, (b) proper service of the Rule, and (c) the ground for eviction. An affidavit of non-appearance is standard.</w:t>
      </w:r>
    </w:p>
    <w:p>
      <w:pPr>
        <w:spacing w:after="80" w:before="120"/>
      </w:pPr>
      <w:r>
        <w:rPr>
          <w:b/>
          <w:bCs/>
          <w:sz w:val="22"/>
          <w:szCs w:val="22"/>
        </w:rPr>
        <w:t xml:space="preserve">ARTICLE 4733 — WARRANT OF POSSESSION</w:t>
      </w:r>
    </w:p>
    <w:p>
      <w:pPr>
        <w:spacing w:after="120"/>
      </w:pPr>
      <w:r>
        <w:t xml:space="preserve">Issued by the clerk after the 24-hour appeal window has expired without a suspensive appeal. The sheriff or constable executes it by physically removing the tenant and their effects.</w:t>
      </w:r>
    </w:p>
    <w:p>
      <w:pPr>
        <w:spacing w:after="80" w:before="120"/>
      </w:pPr>
      <w:r>
        <w:rPr>
          <w:b/>
          <w:bCs/>
          <w:sz w:val="22"/>
          <w:szCs w:val="22"/>
        </w:rPr>
        <w:t xml:space="preserve">ARTICLE 4735 — APPEAL RIGHTS</w:t>
      </w:r>
    </w:p>
    <w:p>
      <w:pPr>
        <w:pStyle w:val="ListParagraph"/>
        <w:numPr>
          <w:ilvl w:val="0"/>
          <w:numId w:val="2"/>
        </w:numPr>
        <w:spacing/>
      </w:pPr>
      <w:r>
        <w:t xml:space="preserve">24 hours to file suspensive appeal (requires bond; stays execution)</w:t>
      </w:r>
    </w:p>
    <w:p>
      <w:pPr>
        <w:pStyle w:val="ListParagraph"/>
        <w:numPr>
          <w:ilvl w:val="0"/>
          <w:numId w:val="2"/>
        </w:numPr>
        <w:spacing/>
      </w:pPr>
      <w:r>
        <w:t xml:space="preserve">Can also file devolutive appeal (no bond required, but eviction proceeds)</w:t>
      </w:r>
    </w:p>
    <w:p>
      <w:pPr>
        <w:pStyle w:val="ListParagraph"/>
        <w:numPr>
          <w:ilvl w:val="0"/>
          <w:numId w:val="2"/>
        </w:numPr>
        <w:spacing w:after="120"/>
      </w:pPr>
      <w:r>
        <w:t xml:space="preserve">Appeal goes to the District Court (from a city/parish/JP court) or to the Court of Appeal (from a District Court eviction)</w:t>
      </w:r>
    </w:p>
    <w:p>
      <w:pPr>
        <w:spacing w:after="80" w:before="120"/>
      </w:pPr>
      <w:r>
        <w:rPr>
          <w:b/>
          <w:bCs/>
          <w:sz w:val="22"/>
          <w:szCs w:val="22"/>
        </w:rPr>
        <w:t xml:space="preserve">TENANT DEFENSES</w:t>
      </w:r>
    </w:p>
    <w:p>
      <w:pPr>
        <w:spacing w:after="120"/>
      </w:pPr>
      <w:r>
        <w:t xml:space="preserve">Common defenses include: defective notice, service defects, rent tendered/accepted, breach of warranty of habitability, retaliation, discrimination (Fair Housing Act), waiver/estoppel by acceptance of rent after notice, and no landlord-tenant relationship. The Tenant Answer form in this library walks through each one.</w:t>
      </w:r>
    </w:p>
    <w:p>
      <w:pPr>
        <w:spacing w:after="80" w:before="120"/>
      </w:pPr>
      <w:r>
        <w:rPr>
          <w:b/>
          <w:bCs/>
          <w:sz w:val="22"/>
          <w:szCs w:val="22"/>
        </w:rPr>
        <w:t xml:space="preserve">SELF-HELP IS UNLAWFUL</w:t>
      </w:r>
    </w:p>
    <w:p>
      <w:pPr>
        <w:spacing w:after="120"/>
      </w:pPr>
      <w:r>
        <w:t xml:space="preserve">Louisiana law does not permit landlords to self-help evict. Changing the locks, cutting off utilities, removing belongings, or threatening the tenant out of the premises exposes the landlord to tort liability (damages, including punitive damages in some cases) and possible criminal prosecution. Use the court process.</w:t>
      </w:r>
    </w:p>
    <w:p>
      <w:pPr>
        <w:spacing w:after="80" w:before="120"/>
      </w:pPr>
      <w:r>
        <w:rPr>
          <w:b/>
          <w:bCs/>
          <w:sz w:val="22"/>
          <w:szCs w:val="22"/>
        </w:rPr>
        <w:t xml:space="preserve">FEDERAL OVERLAYS</w:t>
      </w:r>
    </w:p>
    <w:p>
      <w:pPr>
        <w:spacing w:after="120"/>
      </w:pPr>
      <w:r>
        <w:t xml:space="preserve">Federally subsidized housing (Section 8 voucher, public housing, LIHTC) has additional federal notice and cause requirements that override Louisiana's shorter notice periods.</w:t>
      </w:r>
    </w:p>
    <w:p>
      <w:pPr>
        <w:spacing w:after="120"/>
      </w:pPr>
      <w:r>
        <w:t xml:space="preserve">Fair Housing Act protections apply to nearly all rental housing. Discriminatory evictions are unlawful regardless of state-law technical compliance.</w:t>
      </w:r>
    </w:p>
    <w:p>
      <w:pPr>
        <w:spacing w:after="120"/>
      </w:pPr>
      <w:r>
        <w:t xml:space="preserve">The CARES Act 30-day notice requirement continues to apply to federally-backed properties (most large apartment complexes).</w:t>
      </w:r>
    </w:p>
    <w:p>
      <w:pPr>
        <w:spacing w:after="80" w:before="120"/>
      </w:pPr>
      <w:r>
        <w:rPr>
          <w:b/>
          <w:bCs/>
          <w:sz w:val="22"/>
          <w:szCs w:val="22"/>
        </w:rPr>
        <w:t xml:space="preserve">IF YOU NEED HELP</w:t>
      </w:r>
    </w:p>
    <w:p>
      <w:pPr>
        <w:spacing w:after="60"/>
      </w:pPr>
      <w:r>
        <w:t xml:space="preserve">Free legal aid (priority for tenants facing eviction):</w:t>
      </w:r>
    </w:p>
    <w:p>
      <w:pPr>
        <w:pStyle w:val="ListParagraph"/>
        <w:numPr>
          <w:ilvl w:val="0"/>
          <w:numId w:val="3"/>
        </w:numPr>
        <w:spacing/>
      </w:pPr>
      <w:r>
        <w:t xml:space="preserve">Southeast Louisiana Legal Services: 1-877-521-6242</w:t>
      </w:r>
    </w:p>
    <w:p>
      <w:pPr>
        <w:pStyle w:val="ListParagraph"/>
        <w:numPr>
          <w:ilvl w:val="0"/>
          <w:numId w:val="3"/>
        </w:numPr>
        <w:spacing/>
      </w:pPr>
      <w:r>
        <w:t xml:space="preserve">Acadiana Legal Service Corp.: 1-800-256-1175</w:t>
      </w:r>
    </w:p>
    <w:p>
      <w:pPr>
        <w:pStyle w:val="ListParagraph"/>
        <w:numPr>
          <w:ilvl w:val="0"/>
          <w:numId w:val="3"/>
        </w:numPr>
        <w:spacing w:after="120"/>
      </w:pPr>
      <w:r>
        <w:t xml:space="preserve">Louisiana Civil Justice Center: 1-800-310-7029</w:t>
      </w:r>
    </w:p>
    <w:p>
      <w:pPr>
        <w:pBdr>
          <w:top w:val="single" w:color="000000" w:sz="6" w:space="10"/>
        </w:pBdr>
        <w:spacing w:after="120" w:before="480"/>
        <w:jc w:val="center"/>
      </w:pPr>
      <w:r>
        <w:rPr>
          <w:i/>
          <w:iCs/>
          <w:sz w:val="20"/>
          <w:szCs w:val="20"/>
        </w:rPr>
        <w:t xml:space="preserve">THE FORM ITSELF BEGINS ON THE NEXT PAGE</w:t>
      </w:r>
    </w:p>
    <w:p>
      <w:r>
        <w:br w:type="page"/>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Eviction Code Reference</dc:title>
  <dc:creator>Access to Justice Louisiana</dc:creator>
  <dc:description>Plain-language overview of Louisiana Code of Civil Procedure articles 4701-4735 governing eviction.</dc:description>
  <cp:lastModifiedBy>Un-named</cp:lastModifiedBy>
  <cp:revision>1</cp:revision>
  <dcterms:created xsi:type="dcterms:W3CDTF">2026-04-22T01:57:18.206Z</dcterms:created>
  <dcterms:modified xsi:type="dcterms:W3CDTF">2026-04-22T01:57:18.206Z</dcterms:modified>
</cp:coreProperties>
</file>

<file path=docProps/custom.xml><?xml version="1.0" encoding="utf-8"?>
<Properties xmlns="http://schemas.openxmlformats.org/officeDocument/2006/custom-properties" xmlns:vt="http://schemas.openxmlformats.org/officeDocument/2006/docPropsVTypes"/>
</file>