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STATE OF LOUISIANA</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[DEFENDANT'S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DOCKET NO. ______________          DIV. "____"</w:t>
      </w:r>
    </w:p>
    <w:p>
      <w:pPr>
        <w:spacing w:after="120" w:line="360"/>
        <w:jc w:val="left"/>
      </w:pPr>
      <w:r>
        <w:rPr>
          <w:rFonts w:ascii="Times New Roman" w:cs="Times New Roman" w:eastAsia="Times New Roman" w:hAnsi="Times New Roman"/>
          <w:i/>
          <w:iCs/>
          <w:sz w:val="24"/>
          <w:szCs w:val="24"/>
        </w:rPr>
        <w:t xml:space="preserve">Criminal Proceeding</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SETTING MOTION TO REDUCE BOND FOR HEARING</w:t>
      </w:r>
    </w:p>
    <w:p>
      <w:pPr>
        <w:spacing w:after="240" w:line="360"/>
        <w:jc w:val="center"/>
      </w:pPr>
      <w:r>
        <w:rPr>
          <w:rFonts w:ascii="Times New Roman" w:cs="Times New Roman" w:eastAsia="Times New Roman" w:hAnsi="Times New Roman"/>
          <w:i/>
          <w:iCs/>
          <w:sz w:val="24"/>
          <w:szCs w:val="24"/>
        </w:rPr>
        <w:t xml:space="preserve">(La. C.Cr.P. art. 314)</w:t>
      </w:r>
    </w:p>
    <w:p>
      <w:pPr>
        <w:spacing w:after="120" w:line="360"/>
        <w:jc w:val="both"/>
      </w:pPr>
      <w:r>
        <w:rPr>
          <w:rFonts w:ascii="Times New Roman" w:cs="Times New Roman" w:eastAsia="Times New Roman" w:hAnsi="Times New Roman"/>
          <w:sz w:val="24"/>
          <w:szCs w:val="24"/>
        </w:rPr>
        <w:t xml:space="preserve">CONSIDERING the Motion to Reduce Bond filed by defendant [DEFENDANT'S FULL LEGAL NAME] on the _____ day of ______________, 20____;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 contradictory hearing on said Motion be set for the _____ day of ______________, 20____, at ______ o'clock ____ .m., before this Court in Division "____", said hearing to be held within a reasonable time given defendant's custodial status.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the State of Louisiana be served with a copy of the Motion and this Order at least three (3) days prior to the hearing, or such shorter notice as this Court may permit given defendant's incarceration.</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at said hearing, the Court will consider the factors enumerated in La. C.Cr.P. art. 316, including the seriousness of the offense, defendant's prior criminal history, defendant's ties to the community, defendant's employment, defendant's ability to pay, and the risk of flight or danger to any other person or the community.</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Office of the District Attorney, ________________ Parish</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Set Bond Reduction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2026-08-29T19:22:02.357Z</dcterms:created>
  <dcterms:modified xsi:type="dcterms:W3CDTF">2026-08-29T19:22:02.357Z</dcterms:modified>
</cp:coreProperties>
</file>

<file path=docProps/custom.xml><?xml version="1.0" encoding="utf-8"?>
<Properties xmlns="http://schemas.openxmlformats.org/officeDocument/2006/custom-properties" xmlns:vt="http://schemas.openxmlformats.org/officeDocument/2006/docPropsVTypes"/>
</file>